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2"/>
  <w:body>
    <w:p w:rsidR="00A00D90" w:rsidRDefault="00A008BE" w:rsidP="00AF4308">
      <w:pPr>
        <w:spacing w:before="0" w:after="0"/>
        <w:jc w:val="center"/>
        <w:rPr>
          <w:color w:val="F13737" w:themeColor="accent2"/>
          <w:sz w:val="56"/>
          <w:szCs w:val="56"/>
        </w:rPr>
      </w:pPr>
      <w:r w:rsidRPr="00AF4308">
        <w:rPr>
          <w:color w:val="F13737" w:themeColor="accent2"/>
          <w:sz w:val="56"/>
          <w:szCs w:val="56"/>
        </w:rPr>
        <w:t>Digital Media Assets</w:t>
      </w:r>
      <w:r w:rsidR="000A65A4" w:rsidRPr="00AF4308">
        <w:rPr>
          <w:color w:val="F13737" w:themeColor="accent2"/>
          <w:sz w:val="56"/>
          <w:szCs w:val="56"/>
        </w:rPr>
        <w:t xml:space="preserve"> Checklist</w:t>
      </w:r>
    </w:p>
    <w:p w:rsidR="00AB5B32" w:rsidRPr="00AB5B32" w:rsidRDefault="00AB5B32" w:rsidP="00AF4308">
      <w:pPr>
        <w:spacing w:before="0" w:after="0"/>
        <w:jc w:val="center"/>
        <w:rPr>
          <w:color w:val="F13737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87"/>
        <w:gridCol w:w="1299"/>
        <w:gridCol w:w="1299"/>
        <w:gridCol w:w="1299"/>
        <w:gridCol w:w="1299"/>
        <w:gridCol w:w="1299"/>
        <w:gridCol w:w="1299"/>
        <w:gridCol w:w="1300"/>
      </w:tblGrid>
      <w:tr w:rsidR="00AB5B32" w:rsidTr="00C3216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8AF" w:themeFill="accent1" w:themeFillShade="BF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Name and source of Digital Media</w:t>
            </w:r>
          </w:p>
        </w:tc>
      </w:tr>
      <w:tr w:rsidR="00AB5B32" w:rsidTr="00307A1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Pr="00AB5B32" w:rsidRDefault="00825281" w:rsidP="00246A03">
            <w:pPr>
              <w:jc w:val="center"/>
              <w:rPr>
                <w:sz w:val="32"/>
                <w:szCs w:val="32"/>
              </w:rPr>
            </w:pPr>
            <w:r w:rsidRPr="00D63552">
              <w:rPr>
                <w:sz w:val="24"/>
                <w:szCs w:val="32"/>
              </w:rPr>
              <w:t xml:space="preserve">Introducing Graphemes: </w:t>
            </w:r>
            <w:hyperlink r:id="rId10" w:history="1">
              <w:r w:rsidRPr="00D63552">
                <w:rPr>
                  <w:rStyle w:val="Hyperlink"/>
                  <w:sz w:val="22"/>
                </w:rPr>
                <w:t>https://www.youtube.com/watch?v=BBNb6fIChsU&amp;t=1s</w:t>
              </w:r>
            </w:hyperlink>
          </w:p>
        </w:tc>
      </w:tr>
      <w:tr w:rsidR="00AB5B32" w:rsidTr="00C3216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A1EA" w:themeFill="accent1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Intended usage and requirements</w:t>
            </w:r>
          </w:p>
        </w:tc>
      </w:tr>
      <w:tr w:rsidR="00AB5B32" w:rsidTr="00307A1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A16" w:rsidRPr="00AB5B32" w:rsidRDefault="00825281" w:rsidP="00D63552">
            <w:pPr>
              <w:jc w:val="center"/>
              <w:rPr>
                <w:sz w:val="32"/>
                <w:szCs w:val="32"/>
              </w:rPr>
            </w:pPr>
            <w:r w:rsidRPr="00D63552">
              <w:rPr>
                <w:sz w:val="24"/>
                <w:szCs w:val="32"/>
              </w:rPr>
              <w:t>Introduce vocabula</w:t>
            </w:r>
            <w:bookmarkStart w:id="0" w:name="_GoBack"/>
            <w:bookmarkEnd w:id="0"/>
            <w:r w:rsidRPr="00D63552">
              <w:rPr>
                <w:sz w:val="24"/>
                <w:szCs w:val="32"/>
              </w:rPr>
              <w:t>ry: grapheme. Introduce the link between phonemes and graphemes.</w:t>
            </w:r>
          </w:p>
        </w:tc>
      </w:tr>
      <w:tr w:rsidR="00C32166" w:rsidTr="00C32166">
        <w:trPr>
          <w:trHeight w:val="36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C32166" w:rsidRDefault="00307A16" w:rsidP="00C32166">
            <w:pPr>
              <w:rPr>
                <w:color w:val="FFFFFF" w:themeColor="background2"/>
                <w:sz w:val="20"/>
                <w:szCs w:val="20"/>
              </w:rPr>
            </w:pPr>
            <w:r w:rsidRPr="00C32166">
              <w:rPr>
                <w:color w:val="0E1E3D" w:themeColor="text1"/>
                <w:sz w:val="20"/>
                <w:szCs w:val="32"/>
              </w:rPr>
              <w:t xml:space="preserve">License Type: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338E2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770012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2"/>
                <w:szCs w:val="20"/>
              </w:rPr>
              <w:t>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307A16" w:rsidRDefault="00C338E2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8263442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>
              <w:rPr>
                <w:sz w:val="20"/>
                <w:szCs w:val="20"/>
              </w:rPr>
              <w:t>PD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825281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CC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825281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BY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338E2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1811818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338E2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9320224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C338E2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98907376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NC</w:t>
            </w:r>
          </w:p>
        </w:tc>
      </w:tr>
      <w:tr w:rsidR="00C32166" w:rsidTr="00C32166">
        <w:trPr>
          <w:trHeight w:val="2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825281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License allows for intended usage of materials</w:t>
            </w:r>
          </w:p>
        </w:tc>
      </w:tr>
      <w:tr w:rsidR="00C32166" w:rsidTr="00C32166">
        <w:trPr>
          <w:trHeight w:val="2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825281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Crediting requirements are clear and can be fulfilled</w:t>
            </w:r>
          </w:p>
        </w:tc>
      </w:tr>
    </w:tbl>
    <w:p w:rsidR="00B12D24" w:rsidRPr="00AB5B32" w:rsidRDefault="000065E1" w:rsidP="00AB5B32">
      <w:pPr>
        <w:spacing w:before="0" w:after="0"/>
        <w:jc w:val="center"/>
        <w:rPr>
          <w:sz w:val="10"/>
          <w:szCs w:val="1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92EB574" wp14:editId="4FF3E9A6">
            <wp:simplePos x="0" y="0"/>
            <wp:positionH relativeFrom="outsideMargin">
              <wp:posOffset>-871537</wp:posOffset>
            </wp:positionH>
            <wp:positionV relativeFrom="page">
              <wp:align>bottom</wp:align>
            </wp:positionV>
            <wp:extent cx="1062000" cy="104400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8E439F" w:rsidRPr="008E439F" w:rsidTr="003A053B">
        <w:trPr>
          <w:trHeight w:val="656"/>
        </w:trPr>
        <w:tc>
          <w:tcPr>
            <w:tcW w:w="2374" w:type="pct"/>
            <w:gridSpan w:val="2"/>
            <w:shd w:val="clear" w:color="auto" w:fill="00A1EA" w:themeFill="accent1"/>
            <w:vAlign w:val="center"/>
          </w:tcPr>
          <w:p w:rsidR="008E439F" w:rsidRPr="008E439F" w:rsidRDefault="00B403FE" w:rsidP="00655AF6">
            <w:pPr>
              <w:pStyle w:val="Header"/>
            </w:pPr>
            <w:r w:rsidRPr="000A65A4">
              <w:rPr>
                <w:sz w:val="32"/>
              </w:rPr>
              <w:t>Relevancy</w:t>
            </w:r>
          </w:p>
        </w:tc>
        <w:tc>
          <w:tcPr>
            <w:tcW w:w="257" w:type="pct"/>
            <w:vAlign w:val="center"/>
          </w:tcPr>
          <w:p w:rsidR="008E439F" w:rsidRPr="008E439F" w:rsidRDefault="008E439F" w:rsidP="00246A03"/>
        </w:tc>
        <w:tc>
          <w:tcPr>
            <w:tcW w:w="2369" w:type="pct"/>
            <w:gridSpan w:val="2"/>
            <w:shd w:val="clear" w:color="auto" w:fill="0078AF" w:themeFill="accent1" w:themeFillShade="BF"/>
            <w:vAlign w:val="center"/>
          </w:tcPr>
          <w:p w:rsidR="008E439F" w:rsidRPr="008E439F" w:rsidRDefault="003A053B" w:rsidP="00B403FE">
            <w:pPr>
              <w:pStyle w:val="Header"/>
            </w:pPr>
            <w:r>
              <w:rPr>
                <w:sz w:val="32"/>
              </w:rPr>
              <w:t>Production Quality</w:t>
            </w:r>
            <w:r w:rsidR="00B403FE" w:rsidRPr="000A65A4">
              <w:rPr>
                <w:sz w:val="32"/>
              </w:rPr>
              <w:t xml:space="preserve"> 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Does the content directly address Learning Objective(s)?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Content is free of </w:t>
            </w:r>
            <w:r>
              <w:rPr>
                <w:sz w:val="20"/>
                <w:szCs w:val="24"/>
              </w:rPr>
              <w:t xml:space="preserve">content </w:t>
            </w:r>
            <w:r w:rsidRPr="009B1C25">
              <w:rPr>
                <w:sz w:val="20"/>
                <w:szCs w:val="24"/>
              </w:rPr>
              <w:t>errors, typos, glitches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Is the Challenge and language of content suited to Learner profile?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Content is clear</w:t>
            </w:r>
            <w:r>
              <w:rPr>
                <w:sz w:val="20"/>
                <w:szCs w:val="24"/>
              </w:rPr>
              <w:t>ly and logically presented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825281" w:rsidRDefault="003A053B" w:rsidP="00825281">
            <w:pPr>
              <w:rPr>
                <w:b w:val="0"/>
                <w:i/>
                <w:color w:val="FF0000"/>
                <w:sz w:val="16"/>
                <w:szCs w:val="16"/>
              </w:rPr>
            </w:pPr>
            <w:r w:rsidRPr="009B1C25">
              <w:rPr>
                <w:sz w:val="20"/>
                <w:szCs w:val="28"/>
              </w:rPr>
              <w:t>Consider: How the resource adds to learner experience</w:t>
            </w:r>
            <w:r w:rsidR="00825281">
              <w:rPr>
                <w:sz w:val="20"/>
                <w:szCs w:val="28"/>
              </w:rPr>
              <w:t xml:space="preserve"> </w:t>
            </w:r>
            <w:r w:rsidR="00825281" w:rsidRPr="00825281">
              <w:rPr>
                <w:i/>
                <w:color w:val="FF0000"/>
                <w:sz w:val="16"/>
                <w:szCs w:val="16"/>
              </w:rPr>
              <w:t>visual+audio, directly linked to LOs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Design features re</w:t>
            </w:r>
            <w:r>
              <w:rPr>
                <w:sz w:val="20"/>
                <w:szCs w:val="24"/>
              </w:rPr>
              <w:t>flect cognitive load principles</w:t>
            </w:r>
            <w:r w:rsidR="00825281">
              <w:rPr>
                <w:sz w:val="20"/>
                <w:szCs w:val="24"/>
              </w:rPr>
              <w:t xml:space="preserve"> </w:t>
            </w:r>
            <w:r w:rsidR="00825281">
              <w:rPr>
                <w:i/>
                <w:color w:val="FF0000"/>
                <w:sz w:val="16"/>
                <w:szCs w:val="16"/>
              </w:rPr>
              <w:t>chunking and clear progression. Audio+images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Consider: How much/ How long an extract to use</w:t>
            </w:r>
            <w:r w:rsidR="00825281">
              <w:rPr>
                <w:sz w:val="20"/>
              </w:rPr>
              <w:t xml:space="preserve"> </w:t>
            </w:r>
            <w:r w:rsidR="00825281">
              <w:rPr>
                <w:i/>
                <w:color w:val="FF0000"/>
                <w:sz w:val="16"/>
                <w:szCs w:val="16"/>
              </w:rPr>
              <w:t>full video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3A053B">
              <w:rPr>
                <w:sz w:val="20"/>
                <w:szCs w:val="24"/>
              </w:rPr>
              <w:t>Sound and/or image quality is high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3A053B" w:rsidP="005B3E16">
            <w:pPr>
              <w:jc w:val="center"/>
              <w:rPr>
                <w:sz w:val="28"/>
              </w:rPr>
            </w:pP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3A053B" w:rsidRDefault="003A053B" w:rsidP="000A65A4">
            <w:pPr>
              <w:rPr>
                <w:sz w:val="20"/>
                <w:highlight w:val="yellow"/>
              </w:rPr>
            </w:pP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825281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Style and tone of media </w:t>
            </w:r>
            <w:r w:rsidR="00CC447A">
              <w:rPr>
                <w:sz w:val="20"/>
                <w:szCs w:val="24"/>
              </w:rPr>
              <w:t xml:space="preserve">is cohesive and </w:t>
            </w:r>
            <w:r w:rsidRPr="009B1C25">
              <w:rPr>
                <w:sz w:val="20"/>
                <w:szCs w:val="24"/>
              </w:rPr>
              <w:t>compliment</w:t>
            </w:r>
            <w:r w:rsidR="00CC447A">
              <w:rPr>
                <w:sz w:val="20"/>
                <w:szCs w:val="24"/>
              </w:rPr>
              <w:t>s</w:t>
            </w:r>
            <w:r w:rsidRPr="009B1C25">
              <w:rPr>
                <w:sz w:val="20"/>
                <w:szCs w:val="24"/>
              </w:rPr>
              <w:t xml:space="preserve"> the overall learning package</w:t>
            </w:r>
          </w:p>
        </w:tc>
      </w:tr>
    </w:tbl>
    <w:p w:rsidR="003A053B" w:rsidRPr="003A053B" w:rsidRDefault="003A053B" w:rsidP="003A053B">
      <w:pPr>
        <w:spacing w:before="0" w:after="0"/>
        <w:rPr>
          <w:sz w:val="10"/>
          <w:szCs w:val="10"/>
        </w:rPr>
      </w:pP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0A65A4" w:rsidRPr="008E439F" w:rsidTr="00AF4308">
        <w:trPr>
          <w:trHeight w:val="654"/>
        </w:trPr>
        <w:tc>
          <w:tcPr>
            <w:tcW w:w="2374" w:type="pct"/>
            <w:gridSpan w:val="2"/>
            <w:shd w:val="clear" w:color="auto" w:fill="005075" w:themeFill="accent1" w:themeFillShade="80"/>
            <w:vAlign w:val="center"/>
          </w:tcPr>
          <w:p w:rsidR="000A65A4" w:rsidRPr="00246A03" w:rsidRDefault="003A053B" w:rsidP="000A65A4">
            <w:pPr>
              <w:pStyle w:val="Header"/>
            </w:pPr>
            <w:r>
              <w:rPr>
                <w:sz w:val="32"/>
              </w:rPr>
              <w:t>Source and Reliability</w:t>
            </w:r>
            <w:r w:rsidR="000A65A4" w:rsidRPr="000A65A4">
              <w:rPr>
                <w:sz w:val="32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0A65A4" w:rsidRPr="008E439F" w:rsidRDefault="000A65A4" w:rsidP="000A65A4"/>
        </w:tc>
        <w:tc>
          <w:tcPr>
            <w:tcW w:w="2369" w:type="pct"/>
            <w:gridSpan w:val="2"/>
            <w:shd w:val="clear" w:color="auto" w:fill="59CBFF" w:themeFill="accent1" w:themeFillTint="99"/>
            <w:vAlign w:val="center"/>
          </w:tcPr>
          <w:p w:rsidR="000A65A4" w:rsidRPr="00246A03" w:rsidRDefault="000A65A4" w:rsidP="000A65A4">
            <w:pPr>
              <w:pStyle w:val="Header"/>
            </w:pPr>
            <w:r w:rsidRPr="000A65A4">
              <w:rPr>
                <w:sz w:val="32"/>
              </w:rPr>
              <w:t>Accessibility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825281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Creat</w:t>
            </w:r>
            <w:r w:rsidR="003A053B">
              <w:rPr>
                <w:sz w:val="20"/>
                <w:szCs w:val="20"/>
              </w:rPr>
              <w:t xml:space="preserve">or’s knowledge, credentials and </w:t>
            </w:r>
            <w:r w:rsidRPr="009B1C25">
              <w:rPr>
                <w:sz w:val="20"/>
                <w:szCs w:val="20"/>
              </w:rPr>
              <w:t>expertise</w:t>
            </w:r>
            <w:r w:rsidR="003A053B">
              <w:rPr>
                <w:sz w:val="20"/>
                <w:szCs w:val="20"/>
              </w:rPr>
              <w:t xml:space="preserve"> are relevant and current</w:t>
            </w:r>
            <w:r w:rsidR="00825281">
              <w:rPr>
                <w:sz w:val="20"/>
                <w:szCs w:val="20"/>
              </w:rPr>
              <w:t xml:space="preserve"> </w:t>
            </w:r>
            <w:r w:rsidR="00825281" w:rsidRPr="00825281">
              <w:rPr>
                <w:i/>
                <w:color w:val="FF0000"/>
                <w:sz w:val="16"/>
                <w:szCs w:val="16"/>
              </w:rPr>
              <w:t>(self created)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D6355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Is media available with or can it be adapted for transcript / subtitles?</w:t>
            </w:r>
            <w:r w:rsidR="00D63552">
              <w:rPr>
                <w:sz w:val="20"/>
                <w:szCs w:val="24"/>
              </w:rPr>
              <w:t xml:space="preserve"> </w:t>
            </w:r>
            <w:r w:rsidR="00D63552">
              <w:rPr>
                <w:i/>
                <w:color w:val="FF0000"/>
                <w:sz w:val="16"/>
                <w:szCs w:val="16"/>
              </w:rPr>
              <w:t>Closed captions provided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825281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 xml:space="preserve">Creator funding, purpose, viewpoint </w:t>
            </w:r>
            <w:r w:rsidR="003A053B">
              <w:rPr>
                <w:sz w:val="20"/>
                <w:szCs w:val="20"/>
              </w:rPr>
              <w:t xml:space="preserve">do not compromise </w:t>
            </w:r>
            <w:r w:rsidRPr="009B1C25">
              <w:rPr>
                <w:sz w:val="20"/>
                <w:szCs w:val="20"/>
              </w:rPr>
              <w:t>fact</w:t>
            </w:r>
            <w:r w:rsidR="003A053B">
              <w:rPr>
                <w:sz w:val="20"/>
                <w:szCs w:val="20"/>
              </w:rPr>
              <w:t>s presented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D6355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Processing power and file size are</w:t>
            </w:r>
            <w:r w:rsidR="003A053B">
              <w:rPr>
                <w:sz w:val="20"/>
                <w:szCs w:val="24"/>
              </w:rPr>
              <w:t xml:space="preserve"> suitable for end use</w:t>
            </w:r>
          </w:p>
        </w:tc>
      </w:tr>
      <w:tr w:rsidR="000A65A4" w:rsidRPr="009B1C25" w:rsidTr="00307A16">
        <w:trPr>
          <w:trHeight w:val="57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825281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Content is free from evidence of bias in tone and language.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D63552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vMerge w:val="restart"/>
            <w:shd w:val="clear" w:color="auto" w:fill="FFFFFF"/>
            <w:vAlign w:val="center"/>
          </w:tcPr>
          <w:p w:rsidR="000A65A4" w:rsidRPr="009B1C25" w:rsidRDefault="000A65A4" w:rsidP="00D63552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Does the resource have particular operating system or software requirements (e.g. Flash, iOS/Android) Are alternative formats available?</w:t>
            </w:r>
            <w:r w:rsidR="00D63552">
              <w:rPr>
                <w:sz w:val="20"/>
                <w:szCs w:val="24"/>
              </w:rPr>
              <w:t xml:space="preserve"> </w:t>
            </w:r>
            <w:r w:rsidR="00D63552" w:rsidRPr="00D63552">
              <w:rPr>
                <w:i/>
                <w:color w:val="FF0000"/>
                <w:sz w:val="16"/>
                <w:szCs w:val="16"/>
              </w:rPr>
              <w:t>Mp4, also online (YouT</w:t>
            </w:r>
            <w:r w:rsidR="00D63552">
              <w:rPr>
                <w:i/>
                <w:color w:val="FF0000"/>
                <w:sz w:val="16"/>
                <w:szCs w:val="16"/>
              </w:rPr>
              <w:t>u</w:t>
            </w:r>
            <w:r w:rsidR="00D63552" w:rsidRPr="00D63552">
              <w:rPr>
                <w:i/>
                <w:color w:val="FF0000"/>
                <w:sz w:val="16"/>
                <w:szCs w:val="16"/>
              </w:rPr>
              <w:t>be)</w:t>
            </w:r>
          </w:p>
        </w:tc>
      </w:tr>
      <w:tr w:rsidR="000A65A4" w:rsidRPr="009B1C25" w:rsidTr="00307A16">
        <w:trPr>
          <w:trHeight w:val="328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C338E2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96538715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825281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Methodology and sources are clear. Contributions are attributed.</w:t>
            </w:r>
            <w:r w:rsidR="00D63552" w:rsidRPr="00D63552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</w:tr>
    </w:tbl>
    <w:p w:rsidR="004E3E97" w:rsidRPr="00AF4308" w:rsidRDefault="004E3E97" w:rsidP="00AF4308">
      <w:pPr>
        <w:tabs>
          <w:tab w:val="left" w:pos="3619"/>
        </w:tabs>
        <w:spacing w:before="0" w:after="0"/>
        <w:rPr>
          <w:sz w:val="16"/>
          <w:szCs w:val="10"/>
        </w:rPr>
      </w:pPr>
    </w:p>
    <w:tbl>
      <w:tblPr>
        <w:tblStyle w:val="TableGrid"/>
        <w:tblW w:w="0" w:type="auto"/>
        <w:tblBorders>
          <w:top w:val="single" w:sz="8" w:space="0" w:color="F13737" w:themeColor="accent2"/>
          <w:left w:val="single" w:sz="8" w:space="0" w:color="F13737" w:themeColor="accent2"/>
          <w:bottom w:val="single" w:sz="8" w:space="0" w:color="F13737" w:themeColor="accent2"/>
          <w:right w:val="single" w:sz="8" w:space="0" w:color="F13737" w:themeColor="accent2"/>
          <w:insideH w:val="single" w:sz="8" w:space="0" w:color="F13737" w:themeColor="accent2"/>
          <w:insideV w:val="single" w:sz="8" w:space="0" w:color="F13737" w:themeColor="accent2"/>
        </w:tblBorders>
        <w:tblLook w:val="04A0" w:firstRow="1" w:lastRow="0" w:firstColumn="1" w:lastColumn="0" w:noHBand="0" w:noVBand="1"/>
      </w:tblPr>
      <w:tblGrid>
        <w:gridCol w:w="5093"/>
        <w:gridCol w:w="567"/>
        <w:gridCol w:w="709"/>
        <w:gridCol w:w="3260"/>
      </w:tblGrid>
      <w:tr w:rsidR="00156BDA" w:rsidTr="000065E1">
        <w:trPr>
          <w:trHeight w:val="438"/>
        </w:trPr>
        <w:tc>
          <w:tcPr>
            <w:tcW w:w="5093" w:type="dxa"/>
            <w:tcBorders>
              <w:bottom w:val="nil"/>
              <w:right w:val="nil"/>
            </w:tcBorders>
            <w:shd w:val="clear" w:color="auto" w:fill="F13737" w:themeFill="accent2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  <w:r w:rsidR="000065E1">
              <w:rPr>
                <w:sz w:val="32"/>
                <w:szCs w:val="3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156BDA" w:rsidRPr="00E679DA" w:rsidRDefault="00D63552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0065E1" w:rsidP="000065E1">
            <w:pPr>
              <w:tabs>
                <w:tab w:val="left" w:pos="3619"/>
              </w:tabs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Suitable for intended usage</w:t>
            </w:r>
          </w:p>
        </w:tc>
      </w:tr>
      <w:tr w:rsidR="000065E1" w:rsidTr="000065E1">
        <w:trPr>
          <w:trHeight w:val="4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D63552" w:rsidRDefault="00825281" w:rsidP="00E679DA">
            <w:pPr>
              <w:tabs>
                <w:tab w:val="left" w:pos="3619"/>
              </w:tabs>
              <w:jc w:val="center"/>
              <w:rPr>
                <w:i/>
                <w:sz w:val="16"/>
                <w:szCs w:val="16"/>
              </w:rPr>
            </w:pPr>
            <w:r w:rsidRPr="00D63552">
              <w:rPr>
                <w:i/>
                <w:color w:val="FF0000"/>
                <w:sz w:val="16"/>
                <w:szCs w:val="16"/>
              </w:rPr>
              <w:t>Although no references are given in video, the content was produced in house specifically for the course and is known to be accurate.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E679DA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0065E1" w:rsidRPr="005B3E16" w:rsidRDefault="00C338E2" w:rsidP="00E679DA">
            <w:pPr>
              <w:tabs>
                <w:tab w:val="left" w:pos="3619"/>
              </w:tabs>
              <w:jc w:val="center"/>
              <w:rPr>
                <w:rFonts w:ascii="Segoe UI Symbol" w:hAnsi="Segoe UI Symbol" w:cs="Segoe UI Symbol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03538539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0065E1">
            <w:pPr>
              <w:tabs>
                <w:tab w:val="left" w:pos="3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suitable for intended usage</w:t>
            </w:r>
          </w:p>
        </w:tc>
      </w:tr>
    </w:tbl>
    <w:p w:rsidR="00FF6FCC" w:rsidRPr="004E3E97" w:rsidRDefault="00FF6FCC" w:rsidP="004E3E97">
      <w:pPr>
        <w:tabs>
          <w:tab w:val="left" w:pos="3619"/>
        </w:tabs>
        <w:rPr>
          <w:sz w:val="10"/>
          <w:szCs w:val="10"/>
        </w:rPr>
      </w:pPr>
    </w:p>
    <w:sectPr w:rsidR="00FF6FCC" w:rsidRPr="004E3E97" w:rsidSect="00AB5B32">
      <w:pgSz w:w="12240" w:h="15840" w:code="1"/>
      <w:pgMar w:top="567" w:right="720" w:bottom="426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E2" w:rsidRDefault="00C338E2" w:rsidP="00246A03">
      <w:r>
        <w:separator/>
      </w:r>
    </w:p>
  </w:endnote>
  <w:endnote w:type="continuationSeparator" w:id="0">
    <w:p w:rsidR="00C338E2" w:rsidRDefault="00C338E2" w:rsidP="002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E2" w:rsidRDefault="00C338E2" w:rsidP="00246A03">
      <w:r>
        <w:separator/>
      </w:r>
    </w:p>
  </w:footnote>
  <w:footnote w:type="continuationSeparator" w:id="0">
    <w:p w:rsidR="00C338E2" w:rsidRDefault="00C338E2" w:rsidP="0024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B"/>
    <w:rsid w:val="000065E1"/>
    <w:rsid w:val="00032F5A"/>
    <w:rsid w:val="00051CAA"/>
    <w:rsid w:val="000523F2"/>
    <w:rsid w:val="000A65A4"/>
    <w:rsid w:val="001004FE"/>
    <w:rsid w:val="00117B99"/>
    <w:rsid w:val="001206D0"/>
    <w:rsid w:val="0013041C"/>
    <w:rsid w:val="00156BDA"/>
    <w:rsid w:val="001E6866"/>
    <w:rsid w:val="001E7B86"/>
    <w:rsid w:val="001F10DC"/>
    <w:rsid w:val="00246A03"/>
    <w:rsid w:val="002A7EBB"/>
    <w:rsid w:val="002D5D14"/>
    <w:rsid w:val="00307A16"/>
    <w:rsid w:val="00367378"/>
    <w:rsid w:val="003A053B"/>
    <w:rsid w:val="003E3395"/>
    <w:rsid w:val="00473A89"/>
    <w:rsid w:val="00473D4A"/>
    <w:rsid w:val="004A3DB4"/>
    <w:rsid w:val="004D2D71"/>
    <w:rsid w:val="004E3E97"/>
    <w:rsid w:val="005B3E16"/>
    <w:rsid w:val="00655AF6"/>
    <w:rsid w:val="00664B70"/>
    <w:rsid w:val="006B0D5D"/>
    <w:rsid w:val="006B4510"/>
    <w:rsid w:val="00700C24"/>
    <w:rsid w:val="007538BA"/>
    <w:rsid w:val="00790D8E"/>
    <w:rsid w:val="007D1A2E"/>
    <w:rsid w:val="007F19F5"/>
    <w:rsid w:val="0082129F"/>
    <w:rsid w:val="00825281"/>
    <w:rsid w:val="00881C61"/>
    <w:rsid w:val="008B3005"/>
    <w:rsid w:val="008C256C"/>
    <w:rsid w:val="008E439F"/>
    <w:rsid w:val="008F4945"/>
    <w:rsid w:val="0094287F"/>
    <w:rsid w:val="009675DA"/>
    <w:rsid w:val="009B1C25"/>
    <w:rsid w:val="009D0FE2"/>
    <w:rsid w:val="009D1E12"/>
    <w:rsid w:val="009D4169"/>
    <w:rsid w:val="009E2C20"/>
    <w:rsid w:val="00A008BE"/>
    <w:rsid w:val="00A00D90"/>
    <w:rsid w:val="00A25AB8"/>
    <w:rsid w:val="00A547C3"/>
    <w:rsid w:val="00A874C1"/>
    <w:rsid w:val="00AB5B32"/>
    <w:rsid w:val="00AF4308"/>
    <w:rsid w:val="00B12D24"/>
    <w:rsid w:val="00B403FE"/>
    <w:rsid w:val="00BC7765"/>
    <w:rsid w:val="00BD4EAA"/>
    <w:rsid w:val="00BD75ED"/>
    <w:rsid w:val="00C12126"/>
    <w:rsid w:val="00C32166"/>
    <w:rsid w:val="00C338E2"/>
    <w:rsid w:val="00C73078"/>
    <w:rsid w:val="00CC447A"/>
    <w:rsid w:val="00D63552"/>
    <w:rsid w:val="00DA3E73"/>
    <w:rsid w:val="00DE4DDC"/>
    <w:rsid w:val="00E14F6F"/>
    <w:rsid w:val="00E679DA"/>
    <w:rsid w:val="00E975D6"/>
    <w:rsid w:val="00E977CA"/>
    <w:rsid w:val="00EC484F"/>
    <w:rsid w:val="00EE3976"/>
    <w:rsid w:val="00F2499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03"/>
    <w:pPr>
      <w:spacing w:before="60" w:after="60"/>
    </w:pPr>
    <w:rPr>
      <w:rFonts w:ascii="Century Gothic" w:eastAsia="Century Gothic" w:hAnsi="Century Gothic" w:cs="Times New Roman"/>
      <w:b/>
      <w:color w:val="642A00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439F"/>
    <w:pPr>
      <w:spacing w:before="360" w:after="0" w:line="240" w:lineRule="auto"/>
      <w:jc w:val="center"/>
    </w:pPr>
    <w:rPr>
      <w:noProof/>
      <w:color w:val="FFFFFF" w:themeColor="background2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8E439F"/>
    <w:rPr>
      <w:noProof/>
      <w:color w:val="FFFFFF" w:themeColor="background2"/>
      <w:sz w:val="68"/>
      <w:szCs w:val="68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D3F4F9" w:themeColor="background1"/>
        <w:left w:val="single" w:sz="4" w:space="0" w:color="D3F4F9" w:themeColor="background1"/>
        <w:bottom w:val="single" w:sz="4" w:space="0" w:color="D3F4F9" w:themeColor="background1"/>
        <w:right w:val="single" w:sz="4" w:space="0" w:color="D3F4F9" w:themeColor="background1"/>
        <w:insideH w:val="single" w:sz="4" w:space="0" w:color="D3F4F9" w:themeColor="background1"/>
        <w:insideV w:val="single" w:sz="4" w:space="0" w:color="D3F4F9" w:themeColor="background1"/>
      </w:tblBorders>
    </w:tblPr>
    <w:tcPr>
      <w:shd w:val="clear" w:color="auto" w:fill="C7EDFF" w:themeFill="accent1" w:themeFillTint="33"/>
    </w:tcPr>
    <w:tblStylePr w:type="firstRow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lastRow">
      <w:rPr>
        <w:b/>
        <w:bCs/>
        <w:color w:val="D3F4F9" w:themeColor="background1"/>
      </w:rPr>
      <w:tblPr/>
      <w:tcPr>
        <w:tcBorders>
          <w:left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fir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bottom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la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band1Vert">
      <w:tblPr/>
      <w:tcPr>
        <w:shd w:val="clear" w:color="auto" w:fill="90DCFF" w:themeFill="accent1" w:themeFillTint="66"/>
      </w:tcPr>
    </w:tblStylePr>
    <w:tblStylePr w:type="band1Horz">
      <w:tblPr/>
      <w:tcPr>
        <w:shd w:val="clear" w:color="auto" w:fill="90DCFF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FFFF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FFFF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Header">
    <w:name w:val="header"/>
    <w:basedOn w:val="Normal"/>
    <w:link w:val="HeaderChar"/>
    <w:uiPriority w:val="99"/>
    <w:rsid w:val="00246A03"/>
    <w:pPr>
      <w:spacing w:after="0" w:line="240" w:lineRule="auto"/>
      <w:ind w:left="113"/>
      <w:jc w:val="center"/>
    </w:pPr>
    <w:rPr>
      <w:color w:val="FFFFFF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46A03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Footer">
    <w:name w:val="footer"/>
    <w:basedOn w:val="Normal"/>
    <w:link w:val="FooterChar"/>
    <w:uiPriority w:val="99"/>
    <w:rsid w:val="00B1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5A"/>
    <w:rPr>
      <w:color w:val="000000" w:themeColor="text2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4"/>
    <w:pPr>
      <w:jc w:val="center"/>
    </w:pPr>
    <w:rPr>
      <w:rFonts w:asciiTheme="majorHAnsi" w:hAnsiTheme="majorHAnsi"/>
      <w:b w:val="0"/>
      <w:color w:val="D3F4F9" w:themeColor="background1"/>
      <w:sz w:val="100"/>
    </w:rPr>
  </w:style>
  <w:style w:type="character" w:customStyle="1" w:styleId="SubtitleChar">
    <w:name w:val="Subtitle Char"/>
    <w:basedOn w:val="DefaultParagraphFont"/>
    <w:link w:val="Subtitle"/>
    <w:uiPriority w:val="11"/>
    <w:rsid w:val="00B12D24"/>
    <w:rPr>
      <w:rFonts w:asciiTheme="majorHAnsi" w:hAnsiTheme="majorHAnsi"/>
      <w:b/>
      <w:color w:val="D3F4F9" w:themeColor="background1"/>
      <w:sz w:val="100"/>
      <w:lang w:val="en-US"/>
    </w:rPr>
  </w:style>
  <w:style w:type="paragraph" w:customStyle="1" w:styleId="NameandGift">
    <w:name w:val="Name and Gift"/>
    <w:basedOn w:val="Normal"/>
    <w:qFormat/>
    <w:rsid w:val="00B12D24"/>
    <w:pPr>
      <w:spacing w:after="0" w:line="240" w:lineRule="auto"/>
      <w:ind w:left="113"/>
    </w:pPr>
    <w:rPr>
      <w:b w:val="0"/>
    </w:rPr>
  </w:style>
  <w:style w:type="paragraph" w:customStyle="1" w:styleId="Place">
    <w:name w:val="Place"/>
    <w:basedOn w:val="Normal"/>
    <w:qFormat/>
    <w:rsid w:val="00032F5A"/>
    <w:pPr>
      <w:spacing w:after="0" w:line="240" w:lineRule="auto"/>
      <w:ind w:left="1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DA"/>
    <w:rPr>
      <w:rFonts w:ascii="Segoe UI" w:eastAsia="Century Gothic" w:hAnsi="Segoe UI" w:cs="Segoe UI"/>
      <w:b/>
      <w:color w:val="642A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25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BBNb6fIChsU&amp;t=1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Learning%20Design%20and%20Technology\LDT300X\Digital%20Media%20Checklist.dotx" TargetMode="External"/></Relationships>
</file>

<file path=word/theme/theme1.xml><?xml version="1.0" encoding="utf-8"?>
<a:theme xmlns:a="http://schemas.openxmlformats.org/drawingml/2006/main" name="Тема Office">
  <a:themeElements>
    <a:clrScheme name="Red Design">
      <a:dk1>
        <a:srgbClr val="0E1E3D"/>
      </a:dk1>
      <a:lt1>
        <a:srgbClr val="D3F4F9"/>
      </a:lt1>
      <a:dk2>
        <a:srgbClr val="000000"/>
      </a:dk2>
      <a:lt2>
        <a:srgbClr val="FFFFFF"/>
      </a:lt2>
      <a:accent1>
        <a:srgbClr val="00A1EA"/>
      </a:accent1>
      <a:accent2>
        <a:srgbClr val="F13737"/>
      </a:accent2>
      <a:accent3>
        <a:srgbClr val="F68687"/>
      </a:accent3>
      <a:accent4>
        <a:srgbClr val="59CBFF"/>
      </a:accent4>
      <a:accent5>
        <a:srgbClr val="8A0909"/>
      </a:accent5>
      <a:accent6>
        <a:srgbClr val="005075"/>
      </a:accent6>
      <a:hlink>
        <a:srgbClr val="00A1EA"/>
      </a:hlink>
      <a:folHlink>
        <a:srgbClr val="6DD2FF"/>
      </a:folHlink>
    </a:clrScheme>
    <a:fontScheme name="Custom 29">
      <a:majorFont>
        <a:latin typeface="Book Antiqua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DE14-29DB-40B3-A726-D9990B1EFD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9660BEC-817E-4723-9287-25490FC7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77A2F-B57B-40FA-932C-A0AE46C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73F72-0164-4D50-9CA8-99500428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Media Checklist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2019-05-05T08:17:00Z</dcterms:created>
  <dcterms:modified xsi:type="dcterms:W3CDTF">2019-05-05T08:45:00Z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